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AA" w:rsidRPr="007531AA" w:rsidRDefault="007531AA" w:rsidP="007531AA">
      <w:pPr>
        <w:jc w:val="center"/>
      </w:pPr>
      <w:r w:rsidRPr="007531AA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7531AA" w:rsidRPr="007531AA" w:rsidRDefault="007531AA" w:rsidP="007531AA">
      <w:pPr>
        <w:jc w:val="center"/>
        <w:rPr>
          <w:b/>
          <w:i/>
        </w:rPr>
      </w:pPr>
      <w:r w:rsidRPr="007531AA">
        <w:rPr>
          <w:b/>
          <w:i/>
        </w:rPr>
        <w:t>Смоленский филиал</w:t>
      </w:r>
    </w:p>
    <w:p w:rsidR="007531AA" w:rsidRPr="007531AA" w:rsidRDefault="007531AA" w:rsidP="007531AA">
      <w:pPr>
        <w:jc w:val="center"/>
      </w:pPr>
      <w:r w:rsidRPr="007531AA">
        <w:t>КОЛИЧЕСТВО ВАКАНТНЫХ МЕСТ ДЛЯ ПРИЁМА (ПЕРЕВОДА) ПО РЕАЛИЗУЕМЫМ ОБРАЗОВАТЕЛЬНЫМ ПРОГРАММАМ</w:t>
      </w:r>
    </w:p>
    <w:p w:rsidR="007531AA" w:rsidRPr="007531AA" w:rsidRDefault="007531AA" w:rsidP="007531AA">
      <w:pPr>
        <w:jc w:val="center"/>
      </w:pPr>
      <w:r w:rsidRPr="007531AA">
        <w:t>(по состоянию на </w:t>
      </w:r>
      <w:r w:rsidR="0018359A">
        <w:t>27</w:t>
      </w:r>
      <w:r w:rsidRPr="007531AA">
        <w:t xml:space="preserve"> </w:t>
      </w:r>
      <w:r w:rsidR="00FB66DE">
        <w:t>марта</w:t>
      </w:r>
      <w:r w:rsidRPr="007531AA">
        <w:t xml:space="preserve"> 201</w:t>
      </w:r>
      <w:r w:rsidR="00FB66DE">
        <w:t>7</w:t>
      </w:r>
      <w:r w:rsidRPr="007531AA">
        <w:t>)</w:t>
      </w:r>
      <w:bookmarkStart w:id="0" w:name="_GoBack"/>
      <w:bookmarkEnd w:id="0"/>
    </w:p>
    <w:tbl>
      <w:tblPr>
        <w:tblW w:w="0" w:type="auto"/>
        <w:tblCellSpacing w:w="0" w:type="dxa"/>
        <w:tblInd w:w="23" w:type="dxa"/>
        <w:tblBorders>
          <w:top w:val="outset" w:sz="12" w:space="0" w:color="996666"/>
          <w:left w:val="outset" w:sz="12" w:space="0" w:color="996666"/>
          <w:bottom w:val="outset" w:sz="12" w:space="0" w:color="996666"/>
          <w:right w:val="outset" w:sz="12" w:space="0" w:color="996666"/>
        </w:tblBorders>
        <w:shd w:val="clear" w:color="auto" w:fill="EE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057"/>
        <w:gridCol w:w="1830"/>
        <w:gridCol w:w="1487"/>
        <w:gridCol w:w="2803"/>
      </w:tblGrid>
      <w:tr w:rsidR="007531AA" w:rsidRPr="007531AA" w:rsidTr="00BD48E6">
        <w:trPr>
          <w:tblCellSpacing w:w="0" w:type="dxa"/>
        </w:trPr>
        <w:tc>
          <w:tcPr>
            <w:tcW w:w="1975" w:type="dxa"/>
            <w:vMerge w:val="restart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образовательной программы, специальности, направления подготовки</w:t>
            </w:r>
          </w:p>
        </w:tc>
        <w:tc>
          <w:tcPr>
            <w:tcW w:w="7387" w:type="dxa"/>
            <w:gridSpan w:val="4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Количество вакантных мест для приема (перевода)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/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Форма обучения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 счет бюджетных ассигнований федерального бюджета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 счет бюджетных ассигнований бюджетов субъекта Российской Федерации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 счет бюджетных ассигнований местных бюджетов</w:t>
            </w:r>
          </w:p>
          <w:p w:rsidR="007531AA" w:rsidRPr="007531AA" w:rsidRDefault="007531AA" w:rsidP="007531AA"/>
        </w:tc>
      </w:tr>
      <w:tr w:rsidR="007531AA" w:rsidRPr="007531AA" w:rsidTr="00BD48E6">
        <w:trPr>
          <w:tblCellSpacing w:w="0" w:type="dxa"/>
        </w:trPr>
        <w:tc>
          <w:tcPr>
            <w:tcW w:w="9362" w:type="dxa"/>
            <w:gridSpan w:val="5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proofErr w:type="spellStart"/>
            <w:r w:rsidRPr="007531AA">
              <w:t>Бакалавриат</w:t>
            </w:r>
            <w:proofErr w:type="spellEnd"/>
          </w:p>
        </w:tc>
      </w:tr>
      <w:tr w:rsidR="007531AA" w:rsidRPr="007531AA" w:rsidTr="00BD48E6">
        <w:trPr>
          <w:tblCellSpacing w:w="0" w:type="dxa"/>
        </w:trPr>
        <w:tc>
          <w:tcPr>
            <w:tcW w:w="1975" w:type="dxa"/>
            <w:vMerge w:val="restart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38.03.04 Государственное и муниципальное управление</w:t>
            </w:r>
          </w:p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  <w:p w:rsidR="007531AA" w:rsidRPr="007531AA" w:rsidRDefault="007531AA" w:rsidP="007531AA">
            <w:pPr>
              <w:jc w:val="center"/>
            </w:pPr>
          </w:p>
        </w:tc>
      </w:tr>
      <w:tr w:rsidR="007531AA" w:rsidRPr="007531AA" w:rsidTr="00BD48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/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1975" w:type="dxa"/>
            <w:vMerge w:val="restart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38.03.01</w:t>
            </w:r>
          </w:p>
          <w:p w:rsidR="007531AA" w:rsidRPr="007531AA" w:rsidRDefault="007531AA" w:rsidP="007531AA">
            <w:r w:rsidRPr="007531AA">
              <w:t xml:space="preserve"> Экономика</w:t>
            </w:r>
          </w:p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/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1975" w:type="dxa"/>
            <w:vMerge w:val="restart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38.03.02 Менеджмент</w:t>
            </w:r>
          </w:p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18359A" w:rsidP="007531AA">
            <w:pPr>
              <w:jc w:val="center"/>
            </w:pPr>
            <w:r>
              <w:t>2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/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1975" w:type="dxa"/>
            <w:vMerge w:val="restart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40.03.01 Юриспруденция</w:t>
            </w:r>
          </w:p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/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hideMark/>
          </w:tcPr>
          <w:p w:rsidR="007531AA" w:rsidRPr="007531AA" w:rsidRDefault="007531AA" w:rsidP="007531AA">
            <w:r w:rsidRPr="007531AA">
              <w:t>заочная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  <w:hideMark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  <w:tr w:rsidR="007531AA" w:rsidRPr="007531AA" w:rsidTr="00BD48E6">
        <w:trPr>
          <w:tblCellSpacing w:w="0" w:type="dxa"/>
        </w:trPr>
        <w:tc>
          <w:tcPr>
            <w:tcW w:w="0" w:type="auto"/>
            <w:tcBorders>
              <w:top w:val="outset" w:sz="6" w:space="0" w:color="996666"/>
              <w:left w:val="outset" w:sz="6" w:space="0" w:color="996666"/>
              <w:right w:val="outset" w:sz="6" w:space="0" w:color="996666"/>
            </w:tcBorders>
            <w:shd w:val="clear" w:color="auto" w:fill="EEFFEE"/>
            <w:vAlign w:val="center"/>
          </w:tcPr>
          <w:p w:rsidR="007531AA" w:rsidRPr="007531AA" w:rsidRDefault="007531AA" w:rsidP="007531AA">
            <w:r w:rsidRPr="007531AA">
              <w:t>38.03.05</w:t>
            </w:r>
          </w:p>
          <w:p w:rsidR="007531AA" w:rsidRPr="007531AA" w:rsidRDefault="007531AA" w:rsidP="007531AA">
            <w:r w:rsidRPr="007531AA">
              <w:t>Бизнес-информатика</w:t>
            </w:r>
          </w:p>
        </w:tc>
        <w:tc>
          <w:tcPr>
            <w:tcW w:w="1065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</w:tcPr>
          <w:p w:rsidR="007531AA" w:rsidRPr="007531AA" w:rsidRDefault="007531AA" w:rsidP="007531AA">
            <w:r w:rsidRPr="007531AA">
              <w:t>очная</w:t>
            </w:r>
          </w:p>
        </w:tc>
        <w:tc>
          <w:tcPr>
            <w:tcW w:w="187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1493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  <w:tc>
          <w:tcPr>
            <w:tcW w:w="2956" w:type="dxa"/>
            <w:tcBorders>
              <w:top w:val="outset" w:sz="6" w:space="0" w:color="996666"/>
              <w:left w:val="outset" w:sz="6" w:space="0" w:color="996666"/>
              <w:bottom w:val="outset" w:sz="6" w:space="0" w:color="996666"/>
              <w:right w:val="outset" w:sz="6" w:space="0" w:color="996666"/>
            </w:tcBorders>
            <w:shd w:val="clear" w:color="auto" w:fill="EEFFEE"/>
            <w:vAlign w:val="center"/>
          </w:tcPr>
          <w:p w:rsidR="007531AA" w:rsidRPr="007531AA" w:rsidRDefault="007531AA" w:rsidP="007531AA">
            <w:pPr>
              <w:jc w:val="center"/>
            </w:pPr>
            <w:r w:rsidRPr="007531AA">
              <w:t>0</w:t>
            </w:r>
          </w:p>
        </w:tc>
      </w:tr>
    </w:tbl>
    <w:p w:rsidR="0055131C" w:rsidRDefault="0055131C"/>
    <w:sectPr w:rsidR="0055131C" w:rsidSect="0062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93"/>
    <w:rsid w:val="00023A4A"/>
    <w:rsid w:val="0018359A"/>
    <w:rsid w:val="003F3E93"/>
    <w:rsid w:val="0055131C"/>
    <w:rsid w:val="007531AA"/>
    <w:rsid w:val="007B7BEC"/>
    <w:rsid w:val="00D903A6"/>
    <w:rsid w:val="00E700F0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9736-F8D7-427A-8913-B0E3C068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РАНХиГС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УМиВР</dc:creator>
  <cp:keywords/>
  <dc:description/>
  <cp:lastModifiedBy>Филиал Смоленский</cp:lastModifiedBy>
  <cp:revision>5</cp:revision>
  <dcterms:created xsi:type="dcterms:W3CDTF">2017-03-10T07:07:00Z</dcterms:created>
  <dcterms:modified xsi:type="dcterms:W3CDTF">2017-03-28T10:20:00Z</dcterms:modified>
</cp:coreProperties>
</file>